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A" w:rsidRPr="00544C72" w:rsidRDefault="00B923BA" w:rsidP="00B923BA">
      <w:pPr>
        <w:rPr>
          <w:rFonts w:ascii="新細明體" w:hAnsi="新細明體" w:cs="新細明體" w:hint="eastAsia"/>
          <w:color w:val="000000"/>
          <w:szCs w:val="24"/>
          <w:shd w:val="clear" w:color="auto" w:fill="FFFFFF"/>
          <w:lang w:eastAsia="zh-TW"/>
        </w:rPr>
      </w:pPr>
    </w:p>
    <w:p w:rsidR="00B923BA" w:rsidRPr="00544C72" w:rsidRDefault="00B923BA" w:rsidP="00B923BA">
      <w:pPr>
        <w:pBdr>
          <w:bottom w:val="single" w:sz="4" w:space="2" w:color="D9D9D9"/>
        </w:pBdr>
        <w:shd w:val="clear" w:color="auto" w:fill="FFFFFF"/>
        <w:spacing w:before="300" w:after="60" w:line="288" w:lineRule="atLeast"/>
        <w:outlineLvl w:val="1"/>
        <w:rPr>
          <w:rFonts w:ascii="新細明體" w:hAnsi="新細明體" w:cs="新細明體"/>
          <w:b/>
          <w:bCs/>
          <w:color w:val="000000"/>
          <w:sz w:val="28"/>
          <w:szCs w:val="24"/>
          <w:lang w:eastAsia="zh-TW"/>
        </w:rPr>
      </w:pPr>
      <w:r w:rsidRPr="00544C72">
        <w:rPr>
          <w:rFonts w:ascii="新細明體" w:hAnsi="新細明體" w:cs="新細明體"/>
          <w:b/>
          <w:bCs/>
          <w:color w:val="000000"/>
          <w:sz w:val="28"/>
          <w:szCs w:val="24"/>
          <w:lang w:eastAsia="zh-TW"/>
        </w:rPr>
        <w:t>EUP</w:t>
      </w:r>
      <w:r w:rsidRPr="00544C72">
        <w:rPr>
          <w:rFonts w:ascii="新細明體" w:hAnsi="新細明體" w:cs="新細明體" w:hint="eastAsia"/>
          <w:b/>
          <w:bCs/>
          <w:color w:val="000000"/>
          <w:sz w:val="28"/>
          <w:szCs w:val="24"/>
          <w:lang w:eastAsia="zh-TW"/>
        </w:rPr>
        <w:t>認證</w:t>
      </w:r>
      <w:r w:rsidRPr="00544C72">
        <w:rPr>
          <w:rFonts w:ascii="新細明體" w:hAnsi="新細明體" w:cs="新細明體"/>
          <w:b/>
          <w:bCs/>
          <w:color w:val="000000"/>
          <w:sz w:val="28"/>
          <w:szCs w:val="24"/>
          <w:lang w:eastAsia="zh-TW"/>
        </w:rPr>
        <w:t xml:space="preserve"> - Eup</w:t>
      </w:r>
      <w:r w:rsidRPr="00544C72">
        <w:rPr>
          <w:rFonts w:ascii="新細明體" w:hAnsi="新細明體" w:cs="新細明體" w:hint="eastAsia"/>
          <w:b/>
          <w:bCs/>
          <w:color w:val="000000"/>
          <w:sz w:val="28"/>
          <w:szCs w:val="24"/>
          <w:lang w:eastAsia="zh-TW"/>
        </w:rPr>
        <w:t>概述</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shd w:val="clear" w:color="auto" w:fill="FFFFFF"/>
          <w:lang w:eastAsia="zh-TW"/>
        </w:rPr>
        <w:t xml:space="preserve">　　歐盟在環保方面的最新指令。（</w:t>
      </w:r>
      <w:r w:rsidRPr="00544C72">
        <w:rPr>
          <w:rFonts w:ascii="新細明體" w:hAnsi="新細明體" w:cs="新細明體"/>
          <w:color w:val="000000"/>
          <w:szCs w:val="24"/>
          <w:shd w:val="clear" w:color="auto" w:fill="FFFFFF"/>
          <w:lang w:eastAsia="zh-TW"/>
        </w:rPr>
        <w:t>up till 2007)</w:t>
      </w:r>
      <w:r w:rsidRPr="00544C72">
        <w:rPr>
          <w:rFonts w:ascii="新細明體" w:hAnsi="新細明體" w:cs="新細明體" w:hint="eastAsia"/>
          <w:color w:val="000000"/>
          <w:szCs w:val="24"/>
          <w:shd w:val="clear" w:color="auto" w:fill="FFFFFF"/>
          <w:lang w:eastAsia="zh-TW"/>
        </w:rPr>
        <w:t>文字文字</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(1</w:t>
      </w:r>
      <w:r w:rsidRPr="00544C72">
        <w:rPr>
          <w:rFonts w:ascii="新細明體" w:hAnsi="新細明體" w:cs="新細明體" w:hint="eastAsia"/>
          <w:color w:val="000000"/>
          <w:szCs w:val="24"/>
          <w:shd w:val="clear" w:color="auto" w:fill="FFFFFF"/>
          <w:lang w:eastAsia="zh-TW"/>
        </w:rPr>
        <w:t>）能耗產品（“</w:t>
      </w:r>
      <w:r w:rsidRPr="00544C72">
        <w:rPr>
          <w:rFonts w:ascii="新細明體" w:hAnsi="新細明體" w:cs="新細明體"/>
          <w:color w:val="000000"/>
          <w:szCs w:val="24"/>
          <w:shd w:val="clear" w:color="auto" w:fill="FFFFFF"/>
          <w:lang w:eastAsia="zh-TW"/>
        </w:rPr>
        <w:t>Energy-using Products,</w:t>
      </w:r>
      <w:r w:rsidRPr="00544C72">
        <w:rPr>
          <w:rFonts w:ascii="新細明體" w:hAnsi="新細明體" w:cs="新細明體" w:hint="eastAsia"/>
          <w:color w:val="000000"/>
          <w:szCs w:val="24"/>
          <w:shd w:val="clear" w:color="auto" w:fill="FFFFFF"/>
          <w:lang w:eastAsia="zh-TW"/>
        </w:rPr>
        <w:t>簡稱</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”）：是指依靠能源輸入（電力、石化及再生燃料）才能操作，以及那些用來發動、運送及測量該能源的上市產品。這還包括單獨耗能的部件成品（</w:t>
      </w:r>
      <w:r w:rsidRPr="00544C72">
        <w:rPr>
          <w:rFonts w:ascii="新細明體" w:hAnsi="新細明體" w:cs="新細明體"/>
          <w:color w:val="000000"/>
          <w:szCs w:val="24"/>
          <w:shd w:val="clear" w:color="auto" w:fill="FFFFFF"/>
          <w:lang w:eastAsia="zh-TW"/>
        </w:rPr>
        <w:t>dependant part</w:t>
      </w:r>
      <w:r w:rsidRPr="00544C72">
        <w:rPr>
          <w:rFonts w:ascii="新細明體" w:hAnsi="新細明體" w:cs="新細明體" w:hint="eastAsia"/>
          <w:color w:val="000000"/>
          <w:szCs w:val="24"/>
          <w:shd w:val="clear" w:color="auto" w:fill="FFFFFF"/>
          <w:lang w:eastAsia="zh-TW"/>
        </w:rPr>
        <w:t>），以及用電產品內的部件（</w:t>
      </w:r>
      <w:r w:rsidRPr="00544C72">
        <w:rPr>
          <w:rFonts w:ascii="新細明體" w:hAnsi="新細明體" w:cs="新細明體"/>
          <w:color w:val="000000"/>
          <w:szCs w:val="24"/>
          <w:shd w:val="clear" w:color="auto" w:fill="FFFFFF"/>
          <w:lang w:eastAsia="zh-TW"/>
        </w:rPr>
        <w:t>incorporated part</w:t>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2</w:t>
      </w:r>
      <w:r w:rsidRPr="00544C72">
        <w:rPr>
          <w:rFonts w:ascii="新細明體" w:hAnsi="新細明體" w:cs="新細明體" w:hint="eastAsia"/>
          <w:color w:val="000000"/>
          <w:szCs w:val="24"/>
          <w:shd w:val="clear" w:color="auto" w:fill="FFFFFF"/>
          <w:lang w:eastAsia="zh-TW"/>
        </w:rPr>
        <w:t>）實施方法（“</w:t>
      </w:r>
      <w:r w:rsidRPr="00544C72">
        <w:rPr>
          <w:rFonts w:ascii="新細明體" w:hAnsi="新細明體" w:cs="新細明體"/>
          <w:color w:val="000000"/>
          <w:szCs w:val="24"/>
          <w:shd w:val="clear" w:color="auto" w:fill="FFFFFF"/>
          <w:lang w:eastAsia="zh-TW"/>
        </w:rPr>
        <w:t>Implementation measures</w:t>
      </w:r>
      <w:r w:rsidRPr="00544C72">
        <w:rPr>
          <w:rFonts w:ascii="新細明體" w:hAnsi="新細明體" w:cs="新細明體" w:hint="eastAsia"/>
          <w:color w:val="000000"/>
          <w:szCs w:val="24"/>
          <w:shd w:val="clear" w:color="auto" w:fill="FFFFFF"/>
          <w:lang w:eastAsia="zh-TW"/>
        </w:rPr>
        <w:t xml:space="preserve">”）是指本指令所指的生態化設計規定方法。　</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3</w:t>
      </w:r>
      <w:r w:rsidRPr="00544C72">
        <w:rPr>
          <w:rFonts w:ascii="新細明體" w:hAnsi="新細明體" w:cs="新細明體" w:hint="eastAsia"/>
          <w:color w:val="000000"/>
          <w:szCs w:val="24"/>
          <w:shd w:val="clear" w:color="auto" w:fill="FFFFFF"/>
          <w:lang w:eastAsia="zh-TW"/>
        </w:rPr>
        <w:t>）生命週期（“</w:t>
      </w:r>
      <w:r w:rsidRPr="00544C72">
        <w:rPr>
          <w:rFonts w:ascii="新細明體" w:hAnsi="新細明體" w:cs="新細明體"/>
          <w:color w:val="000000"/>
          <w:szCs w:val="24"/>
          <w:shd w:val="clear" w:color="auto" w:fill="FFFFFF"/>
          <w:lang w:eastAsia="zh-TW"/>
        </w:rPr>
        <w:t>Life cycle</w:t>
      </w:r>
      <w:r w:rsidRPr="00544C72">
        <w:rPr>
          <w:rFonts w:ascii="新細明體" w:hAnsi="新細明體" w:cs="新細明體" w:hint="eastAsia"/>
          <w:color w:val="000000"/>
          <w:szCs w:val="24"/>
          <w:shd w:val="clear" w:color="auto" w:fill="FFFFFF"/>
          <w:lang w:eastAsia="zh-TW"/>
        </w:rPr>
        <w:t>”）是指一種</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 xml:space="preserve">產品連續性的階段，涵蓋原料使用至最終處置階段。　</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4</w:t>
      </w:r>
      <w:r w:rsidRPr="00544C72">
        <w:rPr>
          <w:rFonts w:ascii="新細明體" w:hAnsi="新細明體" w:cs="新細明體" w:hint="eastAsia"/>
          <w:color w:val="000000"/>
          <w:szCs w:val="24"/>
          <w:shd w:val="clear" w:color="auto" w:fill="FFFFFF"/>
          <w:lang w:eastAsia="zh-TW"/>
        </w:rPr>
        <w:t>）生態檔案（“</w:t>
      </w:r>
      <w:r w:rsidRPr="00544C72">
        <w:rPr>
          <w:rFonts w:ascii="新細明體" w:hAnsi="新細明體" w:cs="新細明體"/>
          <w:color w:val="000000"/>
          <w:szCs w:val="24"/>
          <w:shd w:val="clear" w:color="auto" w:fill="FFFFFF"/>
          <w:lang w:eastAsia="zh-TW"/>
        </w:rPr>
        <w:t>Ecological profile</w:t>
      </w:r>
      <w:r w:rsidRPr="00544C72">
        <w:rPr>
          <w:rFonts w:ascii="新細明體" w:hAnsi="新細明體" w:cs="新細明體" w:hint="eastAsia"/>
          <w:color w:val="000000"/>
          <w:szCs w:val="24"/>
          <w:shd w:val="clear" w:color="auto" w:fill="FFFFFF"/>
          <w:lang w:eastAsia="zh-TW"/>
        </w:rPr>
        <w:t>”）是指一種記述說明（</w:t>
      </w:r>
      <w:r w:rsidRPr="00544C72">
        <w:rPr>
          <w:rFonts w:ascii="新細明體" w:hAnsi="新細明體" w:cs="新細明體"/>
          <w:color w:val="000000"/>
          <w:szCs w:val="24"/>
          <w:shd w:val="clear" w:color="auto" w:fill="FFFFFF"/>
          <w:lang w:eastAsia="zh-TW"/>
        </w:rPr>
        <w:t>description</w:t>
      </w:r>
      <w:r w:rsidRPr="00544C72">
        <w:rPr>
          <w:rFonts w:ascii="新細明體" w:hAnsi="新細明體" w:cs="新細明體" w:hint="eastAsia"/>
          <w:color w:val="000000"/>
          <w:szCs w:val="24"/>
          <w:shd w:val="clear" w:color="auto" w:fill="FFFFFF"/>
          <w:lang w:eastAsia="zh-TW"/>
        </w:rPr>
        <w:t>），涵蓋該</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產品整個生命週期階段的投入與產出（如原料、排放及廢棄物）。這些投入</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 xml:space="preserve">產出在環境衝擊角度而言最為顯著，以及它們的數量可以被計算。　</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5</w:t>
      </w:r>
      <w:r w:rsidRPr="00544C72">
        <w:rPr>
          <w:rFonts w:ascii="新細明體" w:hAnsi="新細明體" w:cs="新細明體" w:hint="eastAsia"/>
          <w:color w:val="000000"/>
          <w:szCs w:val="24"/>
          <w:shd w:val="clear" w:color="auto" w:fill="FFFFFF"/>
          <w:lang w:eastAsia="zh-TW"/>
        </w:rPr>
        <w:t>）生態化設計規定（“</w:t>
      </w:r>
      <w:r w:rsidRPr="00544C72">
        <w:rPr>
          <w:rFonts w:ascii="新細明體" w:hAnsi="新細明體" w:cs="新細明體"/>
          <w:color w:val="000000"/>
          <w:szCs w:val="24"/>
          <w:shd w:val="clear" w:color="auto" w:fill="FFFFFF"/>
          <w:lang w:eastAsia="zh-TW"/>
        </w:rPr>
        <w:t>Eco-design requirement</w:t>
      </w:r>
      <w:r w:rsidRPr="00544C72">
        <w:rPr>
          <w:rFonts w:ascii="新細明體" w:hAnsi="新細明體" w:cs="新細明體" w:hint="eastAsia"/>
          <w:color w:val="000000"/>
          <w:szCs w:val="24"/>
          <w:shd w:val="clear" w:color="auto" w:fill="FFFFFF"/>
          <w:lang w:eastAsia="zh-TW"/>
        </w:rPr>
        <w:t>”）是指任何一種關於</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 xml:space="preserve">產品或它的設計在提升環境績效時的規定。　</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6</w:t>
      </w:r>
      <w:r w:rsidRPr="00544C72">
        <w:rPr>
          <w:rFonts w:ascii="新細明體" w:hAnsi="新細明體" w:cs="新細明體" w:hint="eastAsia"/>
          <w:color w:val="000000"/>
          <w:szCs w:val="24"/>
          <w:shd w:val="clear" w:color="auto" w:fill="FFFFFF"/>
          <w:lang w:eastAsia="zh-TW"/>
        </w:rPr>
        <w:t>）一般生態化設計規定（“</w:t>
      </w:r>
      <w:r w:rsidRPr="00544C72">
        <w:rPr>
          <w:rFonts w:ascii="新細明體" w:hAnsi="新細明體" w:cs="新細明體"/>
          <w:color w:val="000000"/>
          <w:szCs w:val="24"/>
          <w:shd w:val="clear" w:color="auto" w:fill="FFFFFF"/>
          <w:lang w:eastAsia="zh-TW"/>
        </w:rPr>
        <w:t>Generic eco-design requirement</w:t>
      </w:r>
      <w:r w:rsidRPr="00544C72">
        <w:rPr>
          <w:rFonts w:ascii="新細明體" w:hAnsi="新細明體" w:cs="新細明體" w:hint="eastAsia"/>
          <w:color w:val="000000"/>
          <w:szCs w:val="24"/>
          <w:shd w:val="clear" w:color="auto" w:fill="FFFFFF"/>
          <w:lang w:eastAsia="zh-TW"/>
        </w:rPr>
        <w:t xml:space="preserve">”）是指在生態檔案中的任何一種生態化設計規定，而這無須符合某種特定環境方面的需求。　</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7</w:t>
      </w:r>
      <w:r w:rsidRPr="00544C72">
        <w:rPr>
          <w:rFonts w:ascii="新細明體" w:hAnsi="新細明體" w:cs="新細明體" w:hint="eastAsia"/>
          <w:color w:val="000000"/>
          <w:szCs w:val="24"/>
          <w:shd w:val="clear" w:color="auto" w:fill="FFFFFF"/>
          <w:lang w:eastAsia="zh-TW"/>
        </w:rPr>
        <w:t>）特定生態化設計規定（“</w:t>
      </w:r>
      <w:r w:rsidRPr="00544C72">
        <w:rPr>
          <w:rFonts w:ascii="新細明體" w:hAnsi="新細明體" w:cs="新細明體"/>
          <w:color w:val="000000"/>
          <w:szCs w:val="24"/>
          <w:shd w:val="clear" w:color="auto" w:fill="FFFFFF"/>
          <w:lang w:eastAsia="zh-TW"/>
        </w:rPr>
        <w:t>Specific eco-design requirement</w:t>
      </w:r>
      <w:r w:rsidRPr="00544C72">
        <w:rPr>
          <w:rFonts w:ascii="新細明體" w:hAnsi="新細明體" w:cs="新細明體" w:hint="eastAsia"/>
          <w:color w:val="000000"/>
          <w:szCs w:val="24"/>
          <w:shd w:val="clear" w:color="auto" w:fill="FFFFFF"/>
          <w:lang w:eastAsia="zh-TW"/>
        </w:rPr>
        <w:t>”）是指一種</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產品的某個環境方面的可量化</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可量測的生態化設計規定，如在使用時的耗能（以能源投入</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績效產出作為計算單位）。</w:t>
      </w:r>
      <w:r w:rsidRPr="00544C72">
        <w:rPr>
          <w:rFonts w:ascii="新細明體" w:hAnsi="新細明體" w:cs="新細明體"/>
          <w:color w:val="000000"/>
          <w:szCs w:val="24"/>
          <w:lang w:eastAsia="zh-TW"/>
        </w:rPr>
        <w:t> </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hyperlink r:id="rId8" w:tooltip="2005年7月6日" w:history="1">
        <w:r w:rsidRPr="00544C72">
          <w:rPr>
            <w:rFonts w:ascii="新細明體" w:hAnsi="新細明體" w:cs="新細明體"/>
            <w:color w:val="0268CD"/>
            <w:szCs w:val="24"/>
            <w:lang w:eastAsia="zh-TW"/>
          </w:rPr>
          <w:t>2005</w:t>
        </w:r>
        <w:r w:rsidRPr="00544C72">
          <w:rPr>
            <w:rFonts w:ascii="新細明體" w:hAnsi="新細明體" w:cs="新細明體" w:hint="eastAsia"/>
            <w:color w:val="0268CD"/>
            <w:szCs w:val="24"/>
            <w:lang w:eastAsia="zh-TW"/>
          </w:rPr>
          <w:t>年</w:t>
        </w:r>
        <w:r w:rsidRPr="00544C72">
          <w:rPr>
            <w:rFonts w:ascii="新細明體" w:hAnsi="新細明體" w:cs="新細明體"/>
            <w:color w:val="0268CD"/>
            <w:szCs w:val="24"/>
            <w:lang w:eastAsia="zh-TW"/>
          </w:rPr>
          <w:t>7</w:t>
        </w:r>
        <w:r w:rsidRPr="00544C72">
          <w:rPr>
            <w:rFonts w:ascii="新細明體" w:hAnsi="新細明體" w:cs="新細明體" w:hint="eastAsia"/>
            <w:color w:val="0268CD"/>
            <w:szCs w:val="24"/>
            <w:lang w:eastAsia="zh-TW"/>
          </w:rPr>
          <w:t>月</w:t>
        </w:r>
        <w:r w:rsidRPr="00544C72">
          <w:rPr>
            <w:rFonts w:ascii="新細明體" w:hAnsi="新細明體" w:cs="新細明體"/>
            <w:color w:val="0268CD"/>
            <w:szCs w:val="24"/>
            <w:lang w:eastAsia="zh-TW"/>
          </w:rPr>
          <w:t>6</w:t>
        </w:r>
        <w:r w:rsidRPr="00544C72">
          <w:rPr>
            <w:rFonts w:ascii="新細明體" w:hAnsi="新細明體" w:cs="新細明體" w:hint="eastAsia"/>
            <w:color w:val="0268CD"/>
            <w:szCs w:val="24"/>
            <w:lang w:eastAsia="zh-TW"/>
          </w:rPr>
          <w:t>日</w:t>
        </w:r>
      </w:hyperlink>
      <w:r w:rsidRPr="00544C72">
        <w:rPr>
          <w:rFonts w:ascii="新細明體" w:hAnsi="新細明體" w:cs="新細明體" w:hint="eastAsia"/>
          <w:color w:val="000000"/>
          <w:szCs w:val="24"/>
          <w:shd w:val="clear" w:color="auto" w:fill="FFFFFF"/>
          <w:lang w:eastAsia="zh-TW"/>
        </w:rPr>
        <w:t>，歐洲議會和理事會正式公佈了關於制定能耗產品環保設計要求框架的指令</w:t>
      </w:r>
      <w:r w:rsidRPr="00544C72">
        <w:rPr>
          <w:rFonts w:ascii="新細明體" w:hAnsi="新細明體" w:cs="新細明體"/>
          <w:color w:val="000000"/>
          <w:szCs w:val="24"/>
          <w:shd w:val="clear" w:color="auto" w:fill="FFFFFF"/>
          <w:lang w:eastAsia="zh-TW"/>
        </w:rPr>
        <w:t>2005/32/EC</w:t>
      </w:r>
      <w:r w:rsidRPr="00544C72">
        <w:rPr>
          <w:rFonts w:ascii="新細明體" w:hAnsi="新細明體" w:cs="新細明體" w:hint="eastAsia"/>
          <w:color w:val="000000"/>
          <w:szCs w:val="24"/>
          <w:shd w:val="clear" w:color="auto" w:fill="FFFFFF"/>
          <w:lang w:eastAsia="zh-TW"/>
        </w:rPr>
        <w:t>（以下簡稱</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指令），它作為整合式產品策略（</w:t>
      </w:r>
      <w:r w:rsidRPr="00544C72">
        <w:rPr>
          <w:rFonts w:ascii="新細明體" w:hAnsi="新細明體" w:cs="新細明體"/>
          <w:color w:val="000000"/>
          <w:szCs w:val="24"/>
          <w:shd w:val="clear" w:color="auto" w:fill="FFFFFF"/>
          <w:lang w:eastAsia="zh-TW"/>
        </w:rPr>
        <w:t>IPP</w:t>
      </w:r>
      <w:r w:rsidRPr="00544C72">
        <w:rPr>
          <w:rFonts w:ascii="新細明體" w:hAnsi="新細明體" w:cs="新細明體" w:hint="eastAsia"/>
          <w:color w:val="000000"/>
          <w:szCs w:val="24"/>
          <w:shd w:val="clear" w:color="auto" w:fill="FFFFFF"/>
          <w:lang w:eastAsia="zh-TW"/>
        </w:rPr>
        <w:t>考慮產品的生命週期對環境影響的潛在可能性，涉及其各個階段相關人員，對各種產品確定責任和提供開放式工具）框架的一部分，考慮了產品在整個生命迴圈週期對資源能量的消耗和對環境的影響。該指令還同時對理事會</w:t>
      </w:r>
      <w:r w:rsidRPr="00544C72">
        <w:rPr>
          <w:rFonts w:ascii="新細明體" w:hAnsi="新細明體" w:cs="新細明體"/>
          <w:color w:val="000000"/>
          <w:szCs w:val="24"/>
          <w:shd w:val="clear" w:color="auto" w:fill="FFFFFF"/>
          <w:lang w:eastAsia="zh-TW"/>
        </w:rPr>
        <w:t>92/42/EEC</w:t>
      </w:r>
      <w:r w:rsidRPr="00544C72">
        <w:rPr>
          <w:rFonts w:ascii="新細明體" w:hAnsi="新細明體" w:cs="新細明體" w:hint="eastAsia"/>
          <w:color w:val="000000"/>
          <w:szCs w:val="24"/>
          <w:shd w:val="clear" w:color="auto" w:fill="FFFFFF"/>
          <w:lang w:eastAsia="zh-TW"/>
        </w:rPr>
        <w:t>（關於新的燃氣或使用液體燃料熱水鍋爐能效要求的指令）和歐洲議會和理事會指令</w:t>
      </w:r>
      <w:r w:rsidRPr="00544C72">
        <w:rPr>
          <w:rFonts w:ascii="新細明體" w:hAnsi="新細明體" w:cs="新細明體"/>
          <w:color w:val="000000"/>
          <w:szCs w:val="24"/>
          <w:shd w:val="clear" w:color="auto" w:fill="FFFFFF"/>
          <w:lang w:eastAsia="zh-TW"/>
        </w:rPr>
        <w:t>96/57/EC</w:t>
      </w:r>
      <w:r w:rsidRPr="00544C72">
        <w:rPr>
          <w:rFonts w:ascii="新細明體" w:hAnsi="新細明體" w:cs="新細明體" w:hint="eastAsia"/>
          <w:color w:val="000000"/>
          <w:szCs w:val="24"/>
          <w:shd w:val="clear" w:color="auto" w:fill="FFFFFF"/>
          <w:lang w:eastAsia="zh-TW"/>
        </w:rPr>
        <w:t>（關於家用電冰箱、冷凍櫃及其組合件能效要求的指令）及</w:t>
      </w:r>
      <w:r w:rsidRPr="00544C72">
        <w:rPr>
          <w:rFonts w:ascii="新細明體" w:hAnsi="新細明體" w:cs="新細明體"/>
          <w:color w:val="000000"/>
          <w:szCs w:val="24"/>
          <w:shd w:val="clear" w:color="auto" w:fill="FFFFFF"/>
          <w:lang w:eastAsia="zh-TW"/>
        </w:rPr>
        <w:t>2000/55/EC</w:t>
      </w:r>
      <w:r w:rsidRPr="00544C72">
        <w:rPr>
          <w:rFonts w:ascii="新細明體" w:hAnsi="新細明體" w:cs="新細明體" w:hint="eastAsia"/>
          <w:color w:val="000000"/>
          <w:szCs w:val="24"/>
          <w:shd w:val="clear" w:color="auto" w:fill="FFFFFF"/>
          <w:lang w:eastAsia="zh-TW"/>
        </w:rPr>
        <w:t>（關於螢光燈鎮流器能效要求的指令）進行了修訂。自公佈起</w:t>
      </w:r>
      <w:r w:rsidRPr="00544C72">
        <w:rPr>
          <w:rFonts w:ascii="新細明體" w:hAnsi="新細明體" w:cs="新細明體"/>
          <w:color w:val="000000"/>
          <w:szCs w:val="24"/>
          <w:shd w:val="clear" w:color="auto" w:fill="FFFFFF"/>
          <w:lang w:eastAsia="zh-TW"/>
        </w:rPr>
        <w:t>20</w:t>
      </w:r>
      <w:r w:rsidRPr="00544C72">
        <w:rPr>
          <w:rFonts w:ascii="新細明體" w:hAnsi="新細明體" w:cs="新細明體" w:hint="eastAsia"/>
          <w:color w:val="000000"/>
          <w:szCs w:val="24"/>
          <w:shd w:val="clear" w:color="auto" w:fill="FFFFFF"/>
          <w:lang w:eastAsia="zh-TW"/>
        </w:rPr>
        <w:t>日（</w:t>
      </w:r>
      <w:r w:rsidRPr="00544C72">
        <w:rPr>
          <w:rFonts w:ascii="新細明體" w:hAnsi="新細明體" w:cs="新細明體"/>
          <w:color w:val="000000"/>
          <w:szCs w:val="24"/>
          <w:shd w:val="clear" w:color="auto" w:fill="FFFFFF"/>
          <w:lang w:eastAsia="zh-TW"/>
        </w:rPr>
        <w:t>8</w:t>
      </w:r>
      <w:r w:rsidRPr="00544C72">
        <w:rPr>
          <w:rFonts w:ascii="新細明體" w:hAnsi="新細明體" w:cs="新細明體" w:hint="eastAsia"/>
          <w:color w:val="000000"/>
          <w:szCs w:val="24"/>
          <w:shd w:val="clear" w:color="auto" w:fill="FFFFFF"/>
          <w:lang w:eastAsia="zh-TW"/>
        </w:rPr>
        <w:t>月</w:t>
      </w:r>
      <w:r w:rsidRPr="00544C72">
        <w:rPr>
          <w:rFonts w:ascii="新細明體" w:hAnsi="新細明體" w:cs="新細明體"/>
          <w:color w:val="000000"/>
          <w:szCs w:val="24"/>
          <w:shd w:val="clear" w:color="auto" w:fill="FFFFFF"/>
          <w:lang w:eastAsia="zh-TW"/>
        </w:rPr>
        <w:t>11</w:t>
      </w:r>
      <w:r w:rsidRPr="00544C72">
        <w:rPr>
          <w:rFonts w:ascii="新細明體" w:hAnsi="新細明體" w:cs="新細明體" w:hint="eastAsia"/>
          <w:color w:val="000000"/>
          <w:szCs w:val="24"/>
          <w:shd w:val="clear" w:color="auto" w:fill="FFFFFF"/>
          <w:lang w:eastAsia="zh-TW"/>
        </w:rPr>
        <w:t>日），</w:t>
      </w:r>
      <w:r w:rsidRPr="00544C72">
        <w:rPr>
          <w:rFonts w:ascii="新細明體" w:hAnsi="新細明體" w:cs="新細明體"/>
          <w:color w:val="000000"/>
          <w:szCs w:val="24"/>
          <w:shd w:val="clear" w:color="auto" w:fill="FFFFFF"/>
          <w:lang w:eastAsia="zh-TW"/>
        </w:rPr>
        <w:t>2005/32/EC</w:t>
      </w:r>
      <w:r w:rsidRPr="00544C72">
        <w:rPr>
          <w:rFonts w:ascii="新細明體" w:hAnsi="新細明體" w:cs="新細明體" w:hint="eastAsia"/>
          <w:color w:val="000000"/>
          <w:szCs w:val="24"/>
          <w:shd w:val="clear" w:color="auto" w:fill="FFFFFF"/>
          <w:lang w:eastAsia="zh-TW"/>
        </w:rPr>
        <w:t>（</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指令）正式生效，並規定會員國應在</w:t>
      </w:r>
      <w:r w:rsidRPr="00544C72">
        <w:rPr>
          <w:rFonts w:ascii="新細明體" w:hAnsi="新細明體" w:cs="新細明體"/>
          <w:color w:val="000000"/>
          <w:szCs w:val="24"/>
          <w:shd w:val="clear" w:color="auto" w:fill="FFFFFF"/>
          <w:lang w:eastAsia="zh-TW"/>
        </w:rPr>
        <w:t>2007</w:t>
      </w:r>
      <w:r w:rsidRPr="00544C72">
        <w:rPr>
          <w:rFonts w:ascii="新細明體" w:hAnsi="新細明體" w:cs="新細明體" w:hint="eastAsia"/>
          <w:color w:val="000000"/>
          <w:szCs w:val="24"/>
          <w:shd w:val="clear" w:color="auto" w:fill="FFFFFF"/>
          <w:lang w:eastAsia="zh-TW"/>
        </w:rPr>
        <w:t>年</w:t>
      </w:r>
      <w:r w:rsidRPr="00544C72">
        <w:rPr>
          <w:rFonts w:ascii="新細明體" w:hAnsi="新細明體" w:cs="新細明體"/>
          <w:color w:val="000000"/>
          <w:szCs w:val="24"/>
          <w:shd w:val="clear" w:color="auto" w:fill="FFFFFF"/>
          <w:lang w:eastAsia="zh-TW"/>
        </w:rPr>
        <w:t>8</w:t>
      </w:r>
      <w:r w:rsidRPr="00544C72">
        <w:rPr>
          <w:rFonts w:ascii="新細明體" w:hAnsi="新細明體" w:cs="新細明體" w:hint="eastAsia"/>
          <w:color w:val="000000"/>
          <w:szCs w:val="24"/>
          <w:shd w:val="clear" w:color="auto" w:fill="FFFFFF"/>
          <w:lang w:eastAsia="zh-TW"/>
        </w:rPr>
        <w:t>月</w:t>
      </w:r>
      <w:r w:rsidRPr="00544C72">
        <w:rPr>
          <w:rFonts w:ascii="新細明體" w:hAnsi="新細明體" w:cs="新細明體"/>
          <w:color w:val="000000"/>
          <w:szCs w:val="24"/>
          <w:shd w:val="clear" w:color="auto" w:fill="FFFFFF"/>
          <w:lang w:eastAsia="zh-TW"/>
        </w:rPr>
        <w:t>11</w:t>
      </w:r>
      <w:r w:rsidRPr="00544C72">
        <w:rPr>
          <w:rFonts w:ascii="新細明體" w:hAnsi="新細明體" w:cs="新細明體" w:hint="eastAsia"/>
          <w:color w:val="000000"/>
          <w:szCs w:val="24"/>
          <w:shd w:val="clear" w:color="auto" w:fill="FFFFFF"/>
          <w:lang w:eastAsia="zh-TW"/>
        </w:rPr>
        <w:t>日前完成符合本指令所需的國內立法及行政規定。</w:t>
      </w:r>
      <w:r w:rsidRPr="00544C72">
        <w:rPr>
          <w:rFonts w:ascii="新細明體" w:hAnsi="新細明體" w:cs="新細明體"/>
          <w:color w:val="000000"/>
          <w:szCs w:val="24"/>
          <w:lang w:eastAsia="zh-TW"/>
        </w:rPr>
        <w:t> </w:t>
      </w:r>
    </w:p>
    <w:p w:rsidR="00B923BA" w:rsidRDefault="00B923BA" w:rsidP="00B923BA">
      <w:pPr>
        <w:rPr>
          <w:rFonts w:ascii="新細明體" w:hAnsi="新細明體" w:cs="新細明體" w:hint="eastAsia"/>
          <w:color w:val="000000"/>
          <w:szCs w:val="24"/>
          <w:shd w:val="clear" w:color="auto" w:fill="FFFFFF"/>
          <w:lang w:eastAsia="zh-TW"/>
        </w:rPr>
      </w:pP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隨著社會的進步和生活水準的提高，人們對環境的關注程度也與日俱增。各國政府，特別是發達國家政府在制定政策時，越來越多的考慮環保方面的因素，以保證社會的可持續發展。使用能源產品（</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）一般認為在生產、配送、使用、</w:t>
      </w:r>
      <w:hyperlink r:id="rId9" w:tooltip="废弃阶段" w:history="1">
        <w:r w:rsidRPr="00544C72">
          <w:rPr>
            <w:rFonts w:ascii="新細明體" w:hAnsi="新細明體" w:cs="新細明體" w:hint="eastAsia"/>
            <w:color w:val="0268CD"/>
            <w:szCs w:val="24"/>
            <w:lang w:eastAsia="zh-TW"/>
          </w:rPr>
          <w:t>廢棄階段</w:t>
        </w:r>
      </w:hyperlink>
      <w:r w:rsidRPr="00544C72">
        <w:rPr>
          <w:rFonts w:ascii="新細明體" w:hAnsi="新細明體" w:cs="新細明體" w:hint="eastAsia"/>
          <w:color w:val="000000"/>
          <w:szCs w:val="24"/>
          <w:shd w:val="clear" w:color="auto" w:fill="FFFFFF"/>
          <w:lang w:eastAsia="zh-TW"/>
        </w:rPr>
        <w:t>都會對環境造成若干影響，如氣候變遷、能源和資源消耗、產生一般及毒性廢棄物等問題。</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shd w:val="clear" w:color="auto" w:fill="FFFFFF"/>
          <w:lang w:eastAsia="zh-TW"/>
        </w:rPr>
        <w:lastRenderedPageBreak/>
        <w:t>根據德國環保署（</w:t>
      </w:r>
      <w:r w:rsidRPr="00544C72">
        <w:rPr>
          <w:rFonts w:ascii="新細明體" w:hAnsi="新細明體" w:cs="新細明體"/>
          <w:color w:val="000000"/>
          <w:szCs w:val="24"/>
          <w:shd w:val="clear" w:color="auto" w:fill="FFFFFF"/>
          <w:lang w:eastAsia="zh-TW"/>
        </w:rPr>
        <w:t>2000</w:t>
      </w:r>
      <w:r w:rsidRPr="00544C72">
        <w:rPr>
          <w:rFonts w:ascii="新細明體" w:hAnsi="新細明體" w:cs="新細明體" w:hint="eastAsia"/>
          <w:color w:val="000000"/>
          <w:szCs w:val="24"/>
          <w:shd w:val="clear" w:color="auto" w:fill="FFFFFF"/>
          <w:lang w:eastAsia="zh-TW"/>
        </w:rPr>
        <w:t>），超過</w:t>
      </w:r>
      <w:r w:rsidRPr="00544C72">
        <w:rPr>
          <w:rFonts w:ascii="新細明體" w:hAnsi="新細明體" w:cs="新細明體"/>
          <w:color w:val="000000"/>
          <w:szCs w:val="24"/>
          <w:shd w:val="clear" w:color="auto" w:fill="FFFFFF"/>
          <w:lang w:eastAsia="zh-TW"/>
        </w:rPr>
        <w:t>80%</w:t>
      </w:r>
      <w:r w:rsidRPr="00544C72">
        <w:rPr>
          <w:rFonts w:ascii="新細明體" w:hAnsi="新細明體" w:cs="新細明體" w:hint="eastAsia"/>
          <w:color w:val="000000"/>
          <w:szCs w:val="24"/>
          <w:shd w:val="clear" w:color="auto" w:fill="FFFFFF"/>
          <w:lang w:eastAsia="zh-TW"/>
        </w:rPr>
        <w:t>的環境衝擊跟產品設計有關，也就是在產品開發階段若能考慮環境衝擊，便能改善該產品的環境績效。近年來，電器產品對環境的影響漸漸受到重視，各國紛紛制定產品環境績效改善目標和標準，這種趨勢正是歐盟目前規範此電器環境化設計指令的基礎。</w:t>
      </w:r>
      <w:r w:rsidRPr="00544C72">
        <w:rPr>
          <w:rFonts w:ascii="新細明體" w:hAnsi="新細明體" w:cs="新細明體"/>
          <w:color w:val="000000"/>
          <w:szCs w:val="24"/>
          <w:lang w:eastAsia="zh-TW"/>
        </w:rPr>
        <w:t> </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歐盟執委會在完成其內部草擬程式，並經內部會議通過後，在</w:t>
      </w:r>
      <w:r w:rsidRPr="00544C72">
        <w:rPr>
          <w:rFonts w:ascii="新細明體" w:hAnsi="新細明體" w:cs="新細明體"/>
          <w:color w:val="000000"/>
          <w:szCs w:val="24"/>
          <w:shd w:val="clear" w:color="auto" w:fill="FFFFFF"/>
          <w:lang w:eastAsia="zh-TW"/>
        </w:rPr>
        <w:t>2003</w:t>
      </w:r>
      <w:r w:rsidRPr="00544C72">
        <w:rPr>
          <w:rFonts w:ascii="新細明體" w:hAnsi="新細明體" w:cs="新細明體" w:hint="eastAsia"/>
          <w:color w:val="000000"/>
          <w:szCs w:val="24"/>
          <w:shd w:val="clear" w:color="auto" w:fill="FFFFFF"/>
          <w:lang w:eastAsia="zh-TW"/>
        </w:rPr>
        <w:t>年</w:t>
      </w:r>
      <w:r w:rsidRPr="00544C72">
        <w:rPr>
          <w:rFonts w:ascii="新細明體" w:hAnsi="新細明體" w:cs="新細明體"/>
          <w:color w:val="000000"/>
          <w:szCs w:val="24"/>
          <w:shd w:val="clear" w:color="auto" w:fill="FFFFFF"/>
          <w:lang w:eastAsia="zh-TW"/>
        </w:rPr>
        <w:t>8</w:t>
      </w:r>
      <w:r w:rsidRPr="00544C72">
        <w:rPr>
          <w:rFonts w:ascii="新細明體" w:hAnsi="新細明體" w:cs="新細明體" w:hint="eastAsia"/>
          <w:color w:val="000000"/>
          <w:szCs w:val="24"/>
          <w:shd w:val="clear" w:color="auto" w:fill="FFFFFF"/>
          <w:lang w:eastAsia="zh-TW"/>
        </w:rPr>
        <w:t>月</w:t>
      </w:r>
      <w:r w:rsidRPr="00544C72">
        <w:rPr>
          <w:rFonts w:ascii="新細明體" w:hAnsi="新細明體" w:cs="新細明體"/>
          <w:color w:val="000000"/>
          <w:szCs w:val="24"/>
          <w:shd w:val="clear" w:color="auto" w:fill="FFFFFF"/>
          <w:lang w:eastAsia="zh-TW"/>
        </w:rPr>
        <w:t>1</w:t>
      </w:r>
      <w:r w:rsidRPr="00544C72">
        <w:rPr>
          <w:rFonts w:ascii="新細明體" w:hAnsi="新細明體" w:cs="新細明體" w:hint="eastAsia"/>
          <w:color w:val="000000"/>
          <w:szCs w:val="24"/>
          <w:shd w:val="clear" w:color="auto" w:fill="FFFFFF"/>
          <w:lang w:eastAsia="zh-TW"/>
        </w:rPr>
        <w:t>日向歐洲議會提出</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w:t>
      </w:r>
      <w:hyperlink r:id="rId10" w:tooltip="令草" w:history="1">
        <w:r w:rsidRPr="00544C72">
          <w:rPr>
            <w:rFonts w:ascii="新細明體" w:hAnsi="新細明體" w:cs="新細明體" w:hint="eastAsia"/>
            <w:color w:val="0268CD"/>
            <w:szCs w:val="24"/>
            <w:lang w:eastAsia="zh-TW"/>
          </w:rPr>
          <w:t>令草</w:t>
        </w:r>
      </w:hyperlink>
      <w:r w:rsidRPr="00544C72">
        <w:rPr>
          <w:rFonts w:ascii="新細明體" w:hAnsi="新細明體" w:cs="新細明體" w:hint="eastAsia"/>
          <w:color w:val="000000"/>
          <w:szCs w:val="24"/>
          <w:shd w:val="clear" w:color="auto" w:fill="FFFFFF"/>
          <w:lang w:eastAsia="zh-TW"/>
        </w:rPr>
        <w:t>案，案經歐洲議會主席于同年</w:t>
      </w:r>
      <w:r w:rsidRPr="00544C72">
        <w:rPr>
          <w:rFonts w:ascii="新細明體" w:hAnsi="新細明體" w:cs="新細明體"/>
          <w:color w:val="000000"/>
          <w:szCs w:val="24"/>
          <w:shd w:val="clear" w:color="auto" w:fill="FFFFFF"/>
          <w:lang w:eastAsia="zh-TW"/>
        </w:rPr>
        <w:t>9</w:t>
      </w:r>
      <w:r w:rsidRPr="00544C72">
        <w:rPr>
          <w:rFonts w:ascii="新細明體" w:hAnsi="新細明體" w:cs="新細明體" w:hint="eastAsia"/>
          <w:color w:val="000000"/>
          <w:szCs w:val="24"/>
          <w:shd w:val="clear" w:color="auto" w:fill="FFFFFF"/>
          <w:lang w:eastAsia="zh-TW"/>
        </w:rPr>
        <w:t>月</w:t>
      </w:r>
      <w:r w:rsidRPr="00544C72">
        <w:rPr>
          <w:rFonts w:ascii="新細明體" w:hAnsi="新細明體" w:cs="新細明體"/>
          <w:color w:val="000000"/>
          <w:szCs w:val="24"/>
          <w:shd w:val="clear" w:color="auto" w:fill="FFFFFF"/>
          <w:lang w:eastAsia="zh-TW"/>
        </w:rPr>
        <w:t>1</w:t>
      </w:r>
      <w:r w:rsidRPr="00544C72">
        <w:rPr>
          <w:rFonts w:ascii="新細明體" w:hAnsi="新細明體" w:cs="新細明體" w:hint="eastAsia"/>
          <w:color w:val="000000"/>
          <w:szCs w:val="24"/>
          <w:shd w:val="clear" w:color="auto" w:fill="FFFFFF"/>
          <w:lang w:eastAsia="zh-TW"/>
        </w:rPr>
        <w:t>日交付環境、公共健康及消費者政策委員會審查，並送請產業、外貿、研究與能源委員會及法制與內部市場委員會徵詢意見，在</w:t>
      </w:r>
      <w:hyperlink r:id="rId11" w:tooltip="2004年4月20日" w:history="1">
        <w:r w:rsidRPr="00544C72">
          <w:rPr>
            <w:rFonts w:ascii="新細明體" w:hAnsi="新細明體" w:cs="新細明體"/>
            <w:color w:val="0268CD"/>
            <w:szCs w:val="24"/>
            <w:lang w:eastAsia="zh-TW"/>
          </w:rPr>
          <w:t>2004</w:t>
        </w:r>
        <w:r w:rsidRPr="00544C72">
          <w:rPr>
            <w:rFonts w:ascii="新細明體" w:hAnsi="新細明體" w:cs="新細明體" w:hint="eastAsia"/>
            <w:color w:val="0268CD"/>
            <w:szCs w:val="24"/>
            <w:lang w:eastAsia="zh-TW"/>
          </w:rPr>
          <w:t>年</w:t>
        </w:r>
        <w:r w:rsidRPr="00544C72">
          <w:rPr>
            <w:rFonts w:ascii="新細明體" w:hAnsi="新細明體" w:cs="新細明體"/>
            <w:color w:val="0268CD"/>
            <w:szCs w:val="24"/>
            <w:lang w:eastAsia="zh-TW"/>
          </w:rPr>
          <w:t>4</w:t>
        </w:r>
        <w:r w:rsidRPr="00544C72">
          <w:rPr>
            <w:rFonts w:ascii="新細明體" w:hAnsi="新細明體" w:cs="新細明體" w:hint="eastAsia"/>
            <w:color w:val="0268CD"/>
            <w:szCs w:val="24"/>
            <w:lang w:eastAsia="zh-TW"/>
          </w:rPr>
          <w:t>月</w:t>
        </w:r>
        <w:r w:rsidRPr="00544C72">
          <w:rPr>
            <w:rFonts w:ascii="新細明體" w:hAnsi="新細明體" w:cs="新細明體"/>
            <w:color w:val="0268CD"/>
            <w:szCs w:val="24"/>
            <w:lang w:eastAsia="zh-TW"/>
          </w:rPr>
          <w:t>20</w:t>
        </w:r>
        <w:r w:rsidRPr="00544C72">
          <w:rPr>
            <w:rFonts w:ascii="新細明體" w:hAnsi="新細明體" w:cs="新細明體" w:hint="eastAsia"/>
            <w:color w:val="0268CD"/>
            <w:szCs w:val="24"/>
            <w:lang w:eastAsia="zh-TW"/>
          </w:rPr>
          <w:t>日</w:t>
        </w:r>
      </w:hyperlink>
      <w:r w:rsidRPr="00544C72">
        <w:rPr>
          <w:rFonts w:ascii="新細明體" w:hAnsi="新細明體" w:cs="新細明體" w:hint="eastAsia"/>
          <w:color w:val="000000"/>
          <w:szCs w:val="24"/>
          <w:shd w:val="clear" w:color="auto" w:fill="FFFFFF"/>
          <w:lang w:eastAsia="zh-TW"/>
        </w:rPr>
        <w:t>完成全會一讀，並予大幅增修。歐洲議會已</w:t>
      </w:r>
      <w:hyperlink r:id="rId12" w:tooltip="咨请" w:history="1">
        <w:r w:rsidRPr="00544C72">
          <w:rPr>
            <w:rFonts w:ascii="新細明體" w:hAnsi="新細明體" w:cs="新細明體" w:hint="eastAsia"/>
            <w:color w:val="0268CD"/>
            <w:szCs w:val="24"/>
            <w:lang w:eastAsia="zh-TW"/>
          </w:rPr>
          <w:t>諮請</w:t>
        </w:r>
      </w:hyperlink>
      <w:r w:rsidRPr="00544C72">
        <w:rPr>
          <w:rFonts w:ascii="新細明體" w:hAnsi="新細明體" w:cs="新細明體" w:hint="eastAsia"/>
          <w:color w:val="000000"/>
          <w:szCs w:val="24"/>
          <w:shd w:val="clear" w:color="auto" w:fill="FFFFFF"/>
          <w:lang w:eastAsia="zh-TW"/>
        </w:rPr>
        <w:t>執委會根據其增修內容對原草案進行實質修改，或代以新版草案，再提請該會審查。</w:t>
      </w:r>
      <w:r w:rsidRPr="00544C72">
        <w:rPr>
          <w:rFonts w:ascii="新細明體" w:hAnsi="新細明體" w:cs="新細明體"/>
          <w:color w:val="000000"/>
          <w:szCs w:val="24"/>
          <w:lang w:eastAsia="zh-TW"/>
        </w:rPr>
        <w:t> </w:t>
      </w:r>
    </w:p>
    <w:p w:rsidR="00B923BA" w:rsidRPr="00544C72" w:rsidRDefault="00B923BA" w:rsidP="00B923BA">
      <w:pPr>
        <w:rPr>
          <w:rFonts w:ascii="新細明體" w:hAnsi="新細明體" w:cs="新細明體" w:hint="eastAsia"/>
          <w:szCs w:val="24"/>
          <w:lang w:eastAsia="zh-TW"/>
        </w:rPr>
      </w:pPr>
    </w:p>
    <w:p w:rsidR="00B923BA" w:rsidRPr="00544C72" w:rsidRDefault="00B923BA" w:rsidP="00B923BA">
      <w:pPr>
        <w:pBdr>
          <w:bottom w:val="single" w:sz="4" w:space="2" w:color="D9D9D9"/>
        </w:pBdr>
        <w:shd w:val="clear" w:color="auto" w:fill="FFFFFF"/>
        <w:spacing w:after="60" w:line="288" w:lineRule="atLeast"/>
        <w:outlineLvl w:val="1"/>
        <w:rPr>
          <w:rFonts w:ascii="新細明體" w:hAnsi="新細明體" w:cs="新細明體"/>
          <w:b/>
          <w:bCs/>
          <w:color w:val="000000"/>
          <w:sz w:val="28"/>
          <w:szCs w:val="24"/>
          <w:lang w:eastAsia="zh-TW"/>
        </w:rPr>
      </w:pPr>
      <w:bookmarkStart w:id="0" w:name="3"/>
      <w:bookmarkEnd w:id="0"/>
      <w:r w:rsidRPr="00544C72">
        <w:rPr>
          <w:rFonts w:ascii="新細明體" w:hAnsi="新細明體" w:cs="新細明體"/>
          <w:b/>
          <w:bCs/>
          <w:color w:val="000000"/>
          <w:sz w:val="28"/>
          <w:szCs w:val="24"/>
          <w:lang w:eastAsia="zh-TW"/>
        </w:rPr>
        <w:t>EUP</w:t>
      </w:r>
      <w:r w:rsidRPr="00544C72">
        <w:rPr>
          <w:rFonts w:ascii="新細明體" w:hAnsi="新細明體" w:cs="新細明體" w:hint="eastAsia"/>
          <w:b/>
          <w:bCs/>
          <w:color w:val="000000"/>
          <w:sz w:val="28"/>
          <w:szCs w:val="24"/>
          <w:lang w:eastAsia="zh-TW"/>
        </w:rPr>
        <w:t>認證</w:t>
      </w:r>
      <w:r w:rsidRPr="00544C72">
        <w:rPr>
          <w:rFonts w:ascii="新細明體" w:hAnsi="新細明體" w:cs="新細明體"/>
          <w:b/>
          <w:bCs/>
          <w:color w:val="000000"/>
          <w:sz w:val="28"/>
          <w:szCs w:val="24"/>
          <w:lang w:eastAsia="zh-TW"/>
        </w:rPr>
        <w:t xml:space="preserve"> - EUP</w:t>
      </w:r>
      <w:r w:rsidRPr="00544C72">
        <w:rPr>
          <w:rFonts w:ascii="新細明體" w:hAnsi="新細明體" w:cs="新細明體" w:hint="eastAsia"/>
          <w:b/>
          <w:bCs/>
          <w:color w:val="000000"/>
          <w:sz w:val="28"/>
          <w:szCs w:val="24"/>
          <w:lang w:eastAsia="zh-TW"/>
        </w:rPr>
        <w:t>認證標準</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指令有嚴格要求，要求加貼</w:t>
      </w:r>
      <w:r w:rsidRPr="00544C72">
        <w:rPr>
          <w:rFonts w:ascii="新細明體" w:hAnsi="新細明體" w:cs="新細明體"/>
          <w:color w:val="000000"/>
          <w:szCs w:val="24"/>
          <w:shd w:val="clear" w:color="auto" w:fill="FFFFFF"/>
          <w:lang w:eastAsia="zh-TW"/>
        </w:rPr>
        <w:t>CE</w:t>
      </w:r>
      <w:r w:rsidRPr="00544C72">
        <w:rPr>
          <w:rFonts w:ascii="新細明體" w:hAnsi="新細明體" w:cs="新細明體" w:hint="eastAsia"/>
          <w:color w:val="000000"/>
          <w:szCs w:val="24"/>
          <w:shd w:val="clear" w:color="auto" w:fill="FFFFFF"/>
          <w:lang w:eastAsia="zh-TW"/>
        </w:rPr>
        <w:t>標誌</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意為“符合歐洲標準”</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；要求製造商出示</w:t>
      </w:r>
      <w:r w:rsidRPr="00544C72">
        <w:rPr>
          <w:rFonts w:ascii="新細明體" w:hAnsi="新細明體" w:cs="新細明體"/>
          <w:color w:val="000000"/>
          <w:szCs w:val="24"/>
          <w:shd w:val="clear" w:color="auto" w:fill="FFFFFF"/>
          <w:lang w:eastAsia="zh-TW"/>
        </w:rPr>
        <w:t>EC(</w:t>
      </w:r>
      <w:r w:rsidRPr="00544C72">
        <w:rPr>
          <w:rFonts w:ascii="新細明體" w:hAnsi="新細明體" w:cs="新細明體" w:hint="eastAsia"/>
          <w:color w:val="000000"/>
          <w:szCs w:val="24"/>
          <w:shd w:val="clear" w:color="auto" w:fill="FFFFFF"/>
          <w:lang w:eastAsia="zh-TW"/>
        </w:rPr>
        <w:t>歐共體</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符合性聲明書；規定對產品在投放到歐盟市場時所必須滿足的基本要求進行強制性技術協調；標準的採用是自願性的；有時需要或允許協力廠商</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一般是認證機構</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參與；根據協調標準製造的產品將被假定為符合了相應指令對產品的基本要求。</w:t>
      </w:r>
      <w:r w:rsidRPr="00544C72">
        <w:rPr>
          <w:rFonts w:ascii="新細明體" w:hAnsi="新細明體" w:cs="新細明體"/>
          <w:color w:val="000000"/>
          <w:szCs w:val="24"/>
          <w:lang w:eastAsia="zh-TW"/>
        </w:rPr>
        <w:t> </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按照</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指令的要求，符合條件的產品需要提供一些技術文檔</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耗能產品</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的描述；環境評估研究的結果；產品或產品組的生態概要；產品設計規範要素，與環境要素相關聯；適用的標準或其他用於證明符合性的協調標準或替代方法的清單；使用者及處理機構所需要的資訊；測量的結果。</w:t>
      </w:r>
      <w:r w:rsidRPr="00544C72">
        <w:rPr>
          <w:rFonts w:ascii="新細明體" w:hAnsi="新細明體" w:cs="新細明體"/>
          <w:color w:val="000000"/>
          <w:szCs w:val="24"/>
          <w:lang w:eastAsia="zh-TW"/>
        </w:rPr>
        <w:t> </w:t>
      </w:r>
    </w:p>
    <w:p w:rsidR="00B923BA" w:rsidRDefault="00B923BA" w:rsidP="00B923BA">
      <w:pPr>
        <w:rPr>
          <w:rFonts w:ascii="新細明體" w:hAnsi="新細明體" w:cs="新細明體" w:hint="eastAsia"/>
          <w:color w:val="000000"/>
          <w:szCs w:val="24"/>
          <w:lang w:eastAsia="zh-TW"/>
        </w:rPr>
      </w:pPr>
      <w:r w:rsidRPr="00544C72">
        <w:rPr>
          <w:rFonts w:ascii="新細明體" w:hAnsi="新細明體" w:cs="新細明體" w:hint="eastAsia"/>
          <w:color w:val="000000"/>
          <w:szCs w:val="24"/>
          <w:lang w:eastAsia="zh-TW"/>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指令還要求，生產商必須採取措施，保證產品在符合</w:t>
      </w:r>
      <w:r w:rsidRPr="00544C72">
        <w:rPr>
          <w:rFonts w:ascii="新細明體" w:hAnsi="新細明體" w:cs="新細明體"/>
          <w:color w:val="000000"/>
          <w:szCs w:val="24"/>
          <w:shd w:val="clear" w:color="auto" w:fill="FFFFFF"/>
          <w:lang w:eastAsia="zh-TW"/>
        </w:rPr>
        <w:t>EMS/QMS(</w:t>
      </w:r>
      <w:r w:rsidRPr="00544C72">
        <w:rPr>
          <w:rFonts w:ascii="新細明體" w:hAnsi="新細明體" w:cs="新細明體" w:hint="eastAsia"/>
          <w:color w:val="000000"/>
          <w:szCs w:val="24"/>
          <w:shd w:val="clear" w:color="auto" w:fill="FFFFFF"/>
          <w:lang w:eastAsia="zh-TW"/>
        </w:rPr>
        <w:t>環境管理體系</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品質管制體系</w:t>
      </w:r>
      <w:r w:rsidRPr="00544C72">
        <w:rPr>
          <w:rFonts w:ascii="新細明體" w:hAnsi="新細明體" w:cs="新細明體"/>
          <w:color w:val="000000"/>
          <w:szCs w:val="24"/>
          <w:shd w:val="clear" w:color="auto" w:fill="FFFFFF"/>
          <w:lang w:eastAsia="zh-TW"/>
        </w:rPr>
        <w:t>)</w:t>
      </w:r>
      <w:r w:rsidRPr="00544C72">
        <w:rPr>
          <w:rFonts w:ascii="新細明體" w:hAnsi="新細明體" w:cs="新細明體" w:hint="eastAsia"/>
          <w:color w:val="000000"/>
          <w:szCs w:val="24"/>
          <w:shd w:val="clear" w:color="auto" w:fill="FFFFFF"/>
          <w:lang w:eastAsia="zh-TW"/>
        </w:rPr>
        <w:t>下製造，滿足</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指令要求並貼附</w:t>
      </w:r>
      <w:r w:rsidRPr="00544C72">
        <w:rPr>
          <w:rFonts w:ascii="新細明體" w:hAnsi="新細明體" w:cs="新細明體"/>
          <w:color w:val="000000"/>
          <w:szCs w:val="24"/>
          <w:shd w:val="clear" w:color="auto" w:fill="FFFFFF"/>
          <w:lang w:eastAsia="zh-TW"/>
        </w:rPr>
        <w:t>CE</w:t>
      </w:r>
      <w:r w:rsidRPr="00544C72">
        <w:rPr>
          <w:rFonts w:ascii="新細明體" w:hAnsi="新細明體" w:cs="新細明體" w:hint="eastAsia"/>
          <w:color w:val="000000"/>
          <w:szCs w:val="24"/>
          <w:shd w:val="clear" w:color="auto" w:fill="FFFFFF"/>
          <w:lang w:eastAsia="zh-TW"/>
        </w:rPr>
        <w:t>標誌，這樣的產品才能進入歐盟市場。</w:t>
      </w:r>
      <w:r w:rsidRPr="00544C72">
        <w:rPr>
          <w:rFonts w:ascii="新細明體" w:hAnsi="新細明體" w:cs="新細明體"/>
          <w:color w:val="000000"/>
          <w:szCs w:val="24"/>
          <w:lang w:eastAsia="zh-TW"/>
        </w:rPr>
        <w:t> </w:t>
      </w:r>
    </w:p>
    <w:p w:rsidR="00B923BA" w:rsidRPr="00544C72" w:rsidRDefault="00B923BA" w:rsidP="00B923BA">
      <w:pPr>
        <w:rPr>
          <w:rFonts w:ascii="新細明體" w:hAnsi="新細明體" w:cs="新細明體" w:hint="eastAsia"/>
          <w:color w:val="000000"/>
          <w:szCs w:val="24"/>
          <w:shd w:val="clear" w:color="auto" w:fill="FFFFFF"/>
          <w:lang w:eastAsia="zh-CN"/>
        </w:rPr>
      </w:pPr>
      <w:r w:rsidRPr="00544C72">
        <w:rPr>
          <w:rFonts w:ascii="新細明體" w:hAnsi="新細明體" w:cs="新細明體" w:hint="eastAsia"/>
          <w:color w:val="000000"/>
          <w:szCs w:val="24"/>
          <w:lang w:eastAsia="zh-CN"/>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指令作出修訂耗能產品（</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）變身為能源相關產品（</w:t>
      </w:r>
      <w:r w:rsidRPr="00544C72">
        <w:rPr>
          <w:rFonts w:ascii="新細明體" w:hAnsi="新細明體" w:cs="新細明體"/>
          <w:color w:val="000000"/>
          <w:szCs w:val="24"/>
          <w:shd w:val="clear" w:color="auto" w:fill="FFFFFF"/>
          <w:lang w:eastAsia="zh-TW"/>
        </w:rPr>
        <w:t>ErP</w:t>
      </w:r>
      <w:r w:rsidRPr="00544C72">
        <w:rPr>
          <w:rFonts w:ascii="新細明體" w:hAnsi="新細明體" w:cs="新細明體" w:hint="eastAsia"/>
          <w:color w:val="000000"/>
          <w:szCs w:val="24"/>
          <w:shd w:val="clear" w:color="auto" w:fill="FFFFFF"/>
          <w:lang w:eastAsia="zh-TW"/>
        </w:rPr>
        <w:t>）</w:t>
      </w:r>
      <w:r w:rsidRPr="00544C72">
        <w:rPr>
          <w:rFonts w:ascii="新細明體" w:hAnsi="新細明體" w:cs="新細明體"/>
          <w:color w:val="000000"/>
          <w:szCs w:val="24"/>
          <w:lang w:eastAsia="zh-TW"/>
        </w:rPr>
        <w:t> </w:t>
      </w:r>
      <w:r w:rsidRPr="00544C72">
        <w:rPr>
          <w:rFonts w:ascii="新細明體" w:hAnsi="新細明體" w:cs="新細明體" w:hint="eastAsia"/>
          <w:color w:val="000000"/>
          <w:szCs w:val="24"/>
          <w:lang w:eastAsia="zh-CN"/>
        </w:rPr>
        <w:br/>
      </w:r>
      <w:r w:rsidRPr="00544C72">
        <w:rPr>
          <w:rFonts w:ascii="新細明體" w:hAnsi="新細明體" w:cs="新細明體" w:hint="eastAsia"/>
          <w:color w:val="000000"/>
          <w:szCs w:val="24"/>
          <w:shd w:val="clear" w:color="auto" w:fill="FFFFFF"/>
          <w:lang w:eastAsia="zh-TW"/>
        </w:rPr>
        <w:t xml:space="preserve">　　</w:t>
      </w:r>
      <w:r w:rsidRPr="00544C72">
        <w:rPr>
          <w:rFonts w:ascii="新細明體" w:hAnsi="新細明體" w:cs="新細明體"/>
          <w:color w:val="000000"/>
          <w:szCs w:val="24"/>
          <w:shd w:val="clear" w:color="auto" w:fill="FFFFFF"/>
          <w:lang w:eastAsia="zh-TW"/>
        </w:rPr>
        <w:t>2009</w:t>
      </w:r>
      <w:r w:rsidRPr="00544C72">
        <w:rPr>
          <w:rFonts w:ascii="新細明體" w:hAnsi="新細明體" w:cs="新細明體" w:hint="eastAsia"/>
          <w:color w:val="000000"/>
          <w:szCs w:val="24"/>
          <w:shd w:val="clear" w:color="auto" w:fill="FFFFFF"/>
          <w:lang w:eastAsia="zh-TW"/>
        </w:rPr>
        <w:t>年</w:t>
      </w:r>
      <w:r w:rsidRPr="00544C72">
        <w:rPr>
          <w:rFonts w:ascii="新細明體" w:hAnsi="新細明體" w:cs="新細明體"/>
          <w:color w:val="000000"/>
          <w:szCs w:val="24"/>
          <w:shd w:val="clear" w:color="auto" w:fill="FFFFFF"/>
          <w:lang w:eastAsia="zh-TW"/>
        </w:rPr>
        <w:t>10</w:t>
      </w:r>
      <w:r w:rsidRPr="00544C72">
        <w:rPr>
          <w:rFonts w:ascii="新細明體" w:hAnsi="新細明體" w:cs="新細明體" w:hint="eastAsia"/>
          <w:color w:val="000000"/>
          <w:szCs w:val="24"/>
          <w:shd w:val="clear" w:color="auto" w:fill="FFFFFF"/>
          <w:lang w:eastAsia="zh-TW"/>
        </w:rPr>
        <w:t>月</w:t>
      </w:r>
      <w:r w:rsidRPr="00544C72">
        <w:rPr>
          <w:rFonts w:ascii="新細明體" w:hAnsi="新細明體" w:cs="新細明體"/>
          <w:color w:val="000000"/>
          <w:szCs w:val="24"/>
          <w:shd w:val="clear" w:color="auto" w:fill="FFFFFF"/>
          <w:lang w:eastAsia="zh-TW"/>
        </w:rPr>
        <w:t>31</w:t>
      </w:r>
      <w:r w:rsidRPr="00544C72">
        <w:rPr>
          <w:rFonts w:ascii="新細明體" w:hAnsi="新細明體" w:cs="新細明體" w:hint="eastAsia"/>
          <w:color w:val="000000"/>
          <w:szCs w:val="24"/>
          <w:shd w:val="clear" w:color="auto" w:fill="FFFFFF"/>
          <w:lang w:eastAsia="zh-TW"/>
        </w:rPr>
        <w:t>日，歐盟委員會在其官方公報</w:t>
      </w:r>
      <w:r w:rsidRPr="00544C72">
        <w:rPr>
          <w:rFonts w:ascii="新細明體" w:hAnsi="新細明體" w:cs="新細明體"/>
          <w:color w:val="000000"/>
          <w:szCs w:val="24"/>
          <w:shd w:val="clear" w:color="auto" w:fill="FFFFFF"/>
          <w:lang w:eastAsia="zh-TW"/>
        </w:rPr>
        <w:t>OJ</w:t>
      </w:r>
      <w:r w:rsidRPr="00544C72">
        <w:rPr>
          <w:rFonts w:ascii="新細明體" w:hAnsi="新細明體" w:cs="新細明體" w:hint="eastAsia"/>
          <w:color w:val="000000"/>
          <w:szCs w:val="24"/>
          <w:shd w:val="clear" w:color="auto" w:fill="FFFFFF"/>
          <w:lang w:eastAsia="zh-TW"/>
        </w:rPr>
        <w:t>上公佈了</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w:t>
      </w:r>
      <w:r w:rsidRPr="00544C72">
        <w:rPr>
          <w:rFonts w:ascii="新細明體" w:hAnsi="新細明體" w:cs="新細明體"/>
          <w:color w:val="000000"/>
          <w:szCs w:val="24"/>
          <w:shd w:val="clear" w:color="auto" w:fill="FFFFFF"/>
          <w:lang w:eastAsia="zh-TW"/>
        </w:rPr>
        <w:t>2005/32/EC</w:t>
      </w:r>
      <w:r w:rsidRPr="00544C72">
        <w:rPr>
          <w:rFonts w:ascii="新細明體" w:hAnsi="新細明體" w:cs="新細明體" w:hint="eastAsia"/>
          <w:color w:val="000000"/>
          <w:szCs w:val="24"/>
          <w:shd w:val="clear" w:color="auto" w:fill="FFFFFF"/>
          <w:lang w:eastAsia="zh-TW"/>
        </w:rPr>
        <w:t>）的改寫指令：《確立能源相關</w:t>
      </w:r>
      <w:hyperlink r:id="rId13" w:tooltip="产品生态设计" w:history="1">
        <w:r w:rsidRPr="00544C72">
          <w:rPr>
            <w:rFonts w:ascii="新細明體" w:hAnsi="新細明體" w:cs="新細明體" w:hint="eastAsia"/>
            <w:color w:val="0268CD"/>
            <w:szCs w:val="24"/>
            <w:lang w:eastAsia="zh-TW"/>
          </w:rPr>
          <w:t>產品生態設計</w:t>
        </w:r>
      </w:hyperlink>
      <w:r w:rsidRPr="00544C72">
        <w:rPr>
          <w:rFonts w:ascii="新細明體" w:hAnsi="新細明體" w:cs="新細明體" w:hint="eastAsia"/>
          <w:color w:val="000000"/>
          <w:szCs w:val="24"/>
          <w:shd w:val="clear" w:color="auto" w:fill="FFFFFF"/>
          <w:lang w:eastAsia="zh-TW"/>
        </w:rPr>
        <w:t>要求的框架》（</w:t>
      </w:r>
      <w:r w:rsidRPr="00544C72">
        <w:rPr>
          <w:rFonts w:ascii="新細明體" w:hAnsi="新細明體" w:cs="新細明體"/>
          <w:color w:val="000000"/>
          <w:szCs w:val="24"/>
          <w:shd w:val="clear" w:color="auto" w:fill="FFFFFF"/>
          <w:lang w:eastAsia="zh-TW"/>
        </w:rPr>
        <w:t>2009/125/EC</w:t>
      </w:r>
      <w:r w:rsidRPr="00544C72">
        <w:rPr>
          <w:rFonts w:ascii="新細明體" w:hAnsi="新細明體" w:cs="新細明體" w:hint="eastAsia"/>
          <w:color w:val="000000"/>
          <w:szCs w:val="24"/>
          <w:shd w:val="clear" w:color="auto" w:fill="FFFFFF"/>
          <w:lang w:eastAsia="zh-TW"/>
        </w:rPr>
        <w:t>）。</w:t>
      </w:r>
      <w:r w:rsidRPr="00544C72">
        <w:rPr>
          <w:rFonts w:ascii="新細明體" w:hAnsi="新細明體" w:cs="新細明體"/>
          <w:color w:val="000000"/>
          <w:szCs w:val="24"/>
          <w:shd w:val="clear" w:color="auto" w:fill="FFFFFF"/>
          <w:lang w:eastAsia="zh-TW"/>
        </w:rPr>
        <w:t>2009/125/EC</w:t>
      </w:r>
      <w:r w:rsidRPr="00544C72">
        <w:rPr>
          <w:rFonts w:ascii="新細明體" w:hAnsi="新細明體" w:cs="新細明體" w:hint="eastAsia"/>
          <w:color w:val="000000"/>
          <w:szCs w:val="24"/>
          <w:shd w:val="clear" w:color="auto" w:fill="FFFFFF"/>
          <w:lang w:eastAsia="zh-TW"/>
        </w:rPr>
        <w:t>對現行</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指令進行了修訂，並在其正式生效後，將取代現行的</w:t>
      </w:r>
      <w:r w:rsidRPr="00544C72">
        <w:rPr>
          <w:rFonts w:ascii="新細明體" w:hAnsi="新細明體" w:cs="新細明體"/>
          <w:color w:val="000000"/>
          <w:szCs w:val="24"/>
          <w:shd w:val="clear" w:color="auto" w:fill="FFFFFF"/>
          <w:lang w:eastAsia="zh-TW"/>
        </w:rPr>
        <w:t>EuP</w:t>
      </w:r>
      <w:r w:rsidRPr="00544C72">
        <w:rPr>
          <w:rFonts w:ascii="新細明體" w:hAnsi="新細明體" w:cs="新細明體" w:hint="eastAsia"/>
          <w:color w:val="000000"/>
          <w:szCs w:val="24"/>
          <w:shd w:val="clear" w:color="auto" w:fill="FFFFFF"/>
          <w:lang w:eastAsia="zh-TW"/>
        </w:rPr>
        <w:t>指令。</w:t>
      </w:r>
      <w:r w:rsidRPr="00544C72">
        <w:rPr>
          <w:rFonts w:ascii="新細明體" w:hAnsi="新細明體" w:cs="新細明體"/>
          <w:color w:val="000000"/>
          <w:szCs w:val="24"/>
          <w:shd w:val="clear" w:color="auto" w:fill="FFFFFF"/>
          <w:lang w:eastAsia="zh-TW"/>
        </w:rPr>
        <w:t>2009/125/EC</w:t>
      </w:r>
      <w:r w:rsidRPr="00544C72">
        <w:rPr>
          <w:rFonts w:ascii="新細明體" w:hAnsi="新細明體" w:cs="新細明體" w:hint="eastAsia"/>
          <w:color w:val="000000"/>
          <w:szCs w:val="24"/>
          <w:shd w:val="clear" w:color="auto" w:fill="FFFFFF"/>
          <w:lang w:eastAsia="zh-TW"/>
        </w:rPr>
        <w:t>的一個鮮明的變化就是將</w:t>
      </w:r>
      <w:r w:rsidRPr="00544C72">
        <w:rPr>
          <w:rFonts w:ascii="新細明體" w:hAnsi="新細明體" w:cs="新細明體"/>
          <w:color w:val="000000"/>
          <w:szCs w:val="24"/>
          <w:shd w:val="clear" w:color="auto" w:fill="FFFFFF"/>
          <w:lang w:eastAsia="zh-TW"/>
        </w:rPr>
        <w:t>2005/32/EC</w:t>
      </w:r>
      <w:r w:rsidRPr="00544C72">
        <w:rPr>
          <w:rFonts w:ascii="新細明體" w:hAnsi="新細明體" w:cs="新細明體" w:hint="eastAsia"/>
          <w:color w:val="000000"/>
          <w:szCs w:val="24"/>
          <w:shd w:val="clear" w:color="auto" w:fill="FFFFFF"/>
          <w:lang w:eastAsia="zh-TW"/>
        </w:rPr>
        <w:t>中的耗能產品擴展為能源相關產品（</w:t>
      </w:r>
      <w:r w:rsidRPr="00544C72">
        <w:rPr>
          <w:rFonts w:ascii="新細明體" w:hAnsi="新細明體" w:cs="新細明體"/>
          <w:color w:val="000000"/>
          <w:szCs w:val="24"/>
          <w:shd w:val="clear" w:color="auto" w:fill="FFFFFF"/>
          <w:lang w:eastAsia="zh-TW"/>
        </w:rPr>
        <w:t>Energy-related Products</w:t>
      </w:r>
      <w:r w:rsidRPr="00544C72">
        <w:rPr>
          <w:rFonts w:ascii="新細明體" w:hAnsi="新細明體" w:cs="新細明體" w:hint="eastAsia"/>
          <w:color w:val="000000"/>
          <w:szCs w:val="24"/>
          <w:shd w:val="clear" w:color="auto" w:fill="FFFFFF"/>
          <w:lang w:eastAsia="zh-TW"/>
        </w:rPr>
        <w:t>）。但</w:t>
      </w:r>
      <w:r w:rsidRPr="00544C72">
        <w:rPr>
          <w:rFonts w:ascii="新細明體" w:hAnsi="新細明體" w:cs="新細明體"/>
          <w:color w:val="000000"/>
          <w:szCs w:val="24"/>
          <w:shd w:val="clear" w:color="auto" w:fill="FFFFFF"/>
          <w:lang w:eastAsia="zh-TW"/>
        </w:rPr>
        <w:t>2005/32/EC</w:t>
      </w:r>
      <w:r w:rsidRPr="00544C72">
        <w:rPr>
          <w:rFonts w:ascii="新細明體" w:hAnsi="新細明體" w:cs="新細明體" w:hint="eastAsia"/>
          <w:color w:val="000000"/>
          <w:szCs w:val="24"/>
          <w:shd w:val="clear" w:color="auto" w:fill="FFFFFF"/>
          <w:lang w:eastAsia="zh-TW"/>
        </w:rPr>
        <w:t>中一些主要內容，例如實施措施的確立方法、一般及特殊生態設計要求的設立方法、合格評定程式、工作計畫及諮詢論壇的設立等，都沒有較大的變化。</w:t>
      </w:r>
    </w:p>
    <w:p w:rsidR="00B923BA" w:rsidRPr="00AB6A72" w:rsidRDefault="00B923BA" w:rsidP="00B923BA">
      <w:pPr>
        <w:rPr>
          <w:rFonts w:ascii="新細明體" w:hAnsi="新細明體" w:cs="新細明體" w:hint="eastAsia"/>
          <w:color w:val="000000"/>
          <w:szCs w:val="24"/>
          <w:shd w:val="clear" w:color="auto" w:fill="FFFFFF"/>
          <w:lang w:eastAsia="zh-CN"/>
        </w:rPr>
      </w:pPr>
    </w:p>
    <w:p w:rsidR="00B923BA" w:rsidRPr="00F252B0" w:rsidRDefault="00B923BA" w:rsidP="00B923BA">
      <w:pPr>
        <w:shd w:val="clear" w:color="auto" w:fill="FFFFFF"/>
        <w:spacing w:line="144" w:lineRule="atLeast"/>
        <w:jc w:val="center"/>
        <w:rPr>
          <w:rFonts w:ascii="Arial" w:hAnsi="Arial" w:cs="Arial"/>
          <w:color w:val="222222"/>
          <w:sz w:val="14"/>
          <w:szCs w:val="14"/>
          <w:lang w:eastAsia="zh-TW"/>
        </w:rPr>
      </w:pPr>
      <w:r w:rsidRPr="00F252B0">
        <w:rPr>
          <w:rFonts w:ascii="Arial" w:hAnsi="Arial" w:cs="Arial" w:hint="eastAsia"/>
          <w:color w:val="222222"/>
          <w:sz w:val="38"/>
          <w:szCs w:val="38"/>
          <w:lang w:eastAsia="zh-TW"/>
        </w:rPr>
        <w:t>坤展國際安全驗證有限公司</w:t>
      </w:r>
    </w:p>
    <w:p w:rsidR="00B923BA" w:rsidRPr="0078028E" w:rsidRDefault="00B923BA" w:rsidP="00B923BA">
      <w:pPr>
        <w:shd w:val="clear" w:color="auto" w:fill="FFFFFF"/>
        <w:spacing w:line="144" w:lineRule="atLeast"/>
        <w:jc w:val="center"/>
        <w:rPr>
          <w:rFonts w:ascii="Arial" w:hAnsi="Arial" w:cs="Arial"/>
          <w:color w:val="222222"/>
          <w:sz w:val="32"/>
          <w:szCs w:val="14"/>
          <w:lang w:eastAsia="zh-TW"/>
        </w:rPr>
      </w:pPr>
      <w:r w:rsidRPr="0078028E">
        <w:rPr>
          <w:rFonts w:ascii="Arial" w:hAnsi="Arial" w:cs="Arial"/>
          <w:color w:val="222222"/>
          <w:sz w:val="32"/>
          <w:szCs w:val="14"/>
          <w:lang w:eastAsia="zh-TW"/>
        </w:rPr>
        <w:t>CE</w:t>
      </w:r>
      <w:r w:rsidRPr="0078028E">
        <w:rPr>
          <w:rFonts w:ascii="Arial" w:hAnsi="Arial" w:cs="Arial" w:hint="eastAsia"/>
          <w:color w:val="222222"/>
          <w:sz w:val="32"/>
          <w:szCs w:val="14"/>
          <w:lang w:eastAsia="zh-TW"/>
        </w:rPr>
        <w:t>認證</w:t>
      </w:r>
      <w:r w:rsidRPr="0078028E">
        <w:rPr>
          <w:rFonts w:ascii="Arial" w:hAnsi="Arial" w:cs="Arial"/>
          <w:color w:val="222222"/>
          <w:sz w:val="32"/>
          <w:szCs w:val="14"/>
          <w:lang w:eastAsia="zh-TW"/>
        </w:rPr>
        <w:t xml:space="preserve"> &amp; ISO</w:t>
      </w:r>
      <w:r w:rsidRPr="0078028E">
        <w:rPr>
          <w:rFonts w:ascii="Arial" w:hAnsi="Arial" w:cs="Arial" w:hint="eastAsia"/>
          <w:color w:val="222222"/>
          <w:sz w:val="32"/>
          <w:szCs w:val="14"/>
          <w:lang w:eastAsia="zh-TW"/>
        </w:rPr>
        <w:t>驗證</w:t>
      </w:r>
    </w:p>
    <w:p w:rsidR="00B923BA" w:rsidRPr="00F252B0" w:rsidRDefault="00B923BA" w:rsidP="00B923BA">
      <w:pPr>
        <w:shd w:val="clear" w:color="auto" w:fill="FFFFFF"/>
        <w:jc w:val="center"/>
        <w:rPr>
          <w:rFonts w:ascii="Arial" w:hAnsi="Arial" w:cs="Arial"/>
          <w:color w:val="222222"/>
          <w:sz w:val="56"/>
          <w:szCs w:val="56"/>
          <w:lang w:eastAsia="zh-TW"/>
        </w:rPr>
      </w:pPr>
      <w:hyperlink r:id="rId14" w:history="1">
        <w:r w:rsidRPr="00F252B0">
          <w:rPr>
            <w:rFonts w:ascii="Arial" w:hAnsi="Arial" w:cs="Arial"/>
            <w:color w:val="7C93A1"/>
            <w:sz w:val="56"/>
            <w:lang w:eastAsia="zh-TW"/>
          </w:rPr>
          <w:t>http://www.kjisc.com/</w:t>
        </w:r>
      </w:hyperlink>
    </w:p>
    <w:p w:rsidR="00B923BA" w:rsidRPr="001F7255" w:rsidRDefault="00B923BA" w:rsidP="00B923BA">
      <w:pPr>
        <w:rPr>
          <w:rFonts w:ascii="新細明體" w:hAnsi="新細明體"/>
          <w:szCs w:val="24"/>
          <w:lang w:eastAsia="zh-TW"/>
        </w:rPr>
      </w:pPr>
    </w:p>
    <w:p w:rsidR="00B923BA" w:rsidRPr="001F7255" w:rsidRDefault="00B923BA" w:rsidP="00B923BA">
      <w:pPr>
        <w:rPr>
          <w:rFonts w:ascii="新細明體" w:hAnsi="新細明體"/>
          <w:szCs w:val="24"/>
          <w:lang w:eastAsia="zh-TW"/>
        </w:rPr>
      </w:pPr>
    </w:p>
    <w:p w:rsidR="002F34E4" w:rsidRPr="00B8250C" w:rsidRDefault="002F34E4" w:rsidP="00B8250C">
      <w:pPr>
        <w:rPr>
          <w:szCs w:val="24"/>
          <w:lang w:eastAsia="zh-TW"/>
        </w:rPr>
      </w:pPr>
    </w:p>
    <w:sectPr w:rsidR="002F34E4" w:rsidRPr="00B8250C" w:rsidSect="000B67AA">
      <w:headerReference w:type="default" r:id="rId15"/>
      <w:footerReference w:type="default" r:id="rId16"/>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660" w:rsidRDefault="00735660" w:rsidP="00730B0A">
      <w:pPr>
        <w:spacing w:after="0" w:line="240" w:lineRule="auto"/>
      </w:pPr>
      <w:r>
        <w:separator/>
      </w:r>
    </w:p>
  </w:endnote>
  <w:endnote w:type="continuationSeparator" w:id="1">
    <w:p w:rsidR="00735660" w:rsidRDefault="00735660"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1E2F58">
      <w:rPr>
        <w:lang w:eastAsia="zh-TW"/>
      </w:rPr>
      <w:fldChar w:fldCharType="begin"/>
    </w:r>
    <w:r>
      <w:rPr>
        <w:lang w:eastAsia="zh-TW"/>
      </w:rPr>
      <w:instrText xml:space="preserve"> PAGE   \* MERGEFORMAT </w:instrText>
    </w:r>
    <w:r w:rsidR="001E2F58">
      <w:rPr>
        <w:lang w:eastAsia="zh-TW"/>
      </w:rPr>
      <w:fldChar w:fldCharType="separate"/>
    </w:r>
    <w:r w:rsidR="00B923BA" w:rsidRPr="00B923BA">
      <w:rPr>
        <w:rFonts w:asciiTheme="majorHAnsi" w:hAnsiTheme="majorHAnsi" w:cstheme="majorHAnsi"/>
        <w:noProof/>
        <w:lang w:val="zh-TW" w:eastAsia="zh-TW"/>
      </w:rPr>
      <w:t>3</w:t>
    </w:r>
    <w:r w:rsidR="001E2F58">
      <w:rPr>
        <w:lang w:eastAsia="zh-TW"/>
      </w:rPr>
      <w:fldChar w:fldCharType="end"/>
    </w:r>
    <w:r w:rsidR="001E2F58">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1E2F58">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1E2F58">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660" w:rsidRDefault="00735660" w:rsidP="00730B0A">
      <w:pPr>
        <w:spacing w:after="0" w:line="240" w:lineRule="auto"/>
      </w:pPr>
      <w:r>
        <w:separator/>
      </w:r>
    </w:p>
  </w:footnote>
  <w:footnote w:type="continuationSeparator" w:id="1">
    <w:p w:rsidR="00735660" w:rsidRDefault="00735660"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1E2F58" w:rsidP="000B67AA">
    <w:pPr>
      <w:pStyle w:val="ae"/>
      <w:ind w:firstLineChars="300" w:firstLine="600"/>
      <w:rPr>
        <w:rFonts w:ascii="標楷體" w:eastAsia="標楷體" w:hAnsi="標楷體"/>
        <w:sz w:val="28"/>
        <w:szCs w:val="28"/>
        <w:lang w:eastAsia="zh-TW"/>
      </w:rPr>
    </w:pPr>
    <w:r w:rsidRPr="001E2F58">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1E2F58">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1E2F58">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8914"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145C3"/>
    <w:rsid w:val="00131953"/>
    <w:rsid w:val="001351D3"/>
    <w:rsid w:val="00135FFF"/>
    <w:rsid w:val="00163550"/>
    <w:rsid w:val="0019396F"/>
    <w:rsid w:val="001963D5"/>
    <w:rsid w:val="001A66B8"/>
    <w:rsid w:val="001B750B"/>
    <w:rsid w:val="001E2F58"/>
    <w:rsid w:val="00233C6B"/>
    <w:rsid w:val="0023646D"/>
    <w:rsid w:val="002701E1"/>
    <w:rsid w:val="00272A65"/>
    <w:rsid w:val="002954F0"/>
    <w:rsid w:val="002D4F4F"/>
    <w:rsid w:val="002D7542"/>
    <w:rsid w:val="002F34E4"/>
    <w:rsid w:val="002F3FB6"/>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C27A1"/>
    <w:rsid w:val="005D15C6"/>
    <w:rsid w:val="005D619D"/>
    <w:rsid w:val="005E5529"/>
    <w:rsid w:val="00613C1F"/>
    <w:rsid w:val="0061756F"/>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35660"/>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23BA"/>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F0B53"/>
    <w:rsid w:val="00E04334"/>
    <w:rsid w:val="00E16D28"/>
    <w:rsid w:val="00E209BD"/>
    <w:rsid w:val="00E5770D"/>
    <w:rsid w:val="00E7106B"/>
    <w:rsid w:val="00E738A8"/>
    <w:rsid w:val="00EA6D04"/>
    <w:rsid w:val="00EB0ECF"/>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ke.com/wiki/2005%E5%B9%B47%E6%9C%886%E6%97%A5" TargetMode="External"/><Relationship Id="rId13" Type="http://schemas.openxmlformats.org/officeDocument/2006/relationships/hyperlink" Target="http://www.baike.com/wiki/%E4%BA%A7%E5%93%81%E7%94%9F%E6%80%81%E8%AE%BE%E8%AE%A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ke.com/wiki/%E5%92%A8%E8%AF%B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ke.com/wiki/2004%E5%B9%B44%E6%9C%8820%E6%97%A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ike.com/wiki/%E4%BB%A4%E8%8D%89" TargetMode="External"/><Relationship Id="rId4" Type="http://schemas.openxmlformats.org/officeDocument/2006/relationships/settings" Target="settings.xml"/><Relationship Id="rId9" Type="http://schemas.openxmlformats.org/officeDocument/2006/relationships/hyperlink" Target="http://www.baike.com/wiki/%E5%BA%9F%E5%BC%83%E9%98%B6%E6%AE%B5" TargetMode="External"/><Relationship Id="rId14" Type="http://schemas.openxmlformats.org/officeDocument/2006/relationships/hyperlink" Target="http://www.kjis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431</Words>
  <Characters>2460</Characters>
  <Application>Microsoft Office Word</Application>
  <DocSecurity>0</DocSecurity>
  <Lines>20</Lines>
  <Paragraphs>5</Paragraphs>
  <ScaleCrop>false</ScaleCrop>
  <Company>坤展國際安全驗證有限公司  K. J. Certification Co. Ltd.</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43</cp:revision>
  <cp:lastPrinted>2013-07-12T15:34:00Z</cp:lastPrinted>
  <dcterms:created xsi:type="dcterms:W3CDTF">2013-07-11T01:48:00Z</dcterms:created>
  <dcterms:modified xsi:type="dcterms:W3CDTF">2014-09-24T07:27:00Z</dcterms:modified>
</cp:coreProperties>
</file>